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850"/>
        <w:gridCol w:w="284"/>
        <w:gridCol w:w="1276"/>
        <w:gridCol w:w="992"/>
        <w:gridCol w:w="2835"/>
      </w:tblGrid>
      <w:tr>
        <w:trPr>
          <w:trHeight w:hRule="exact" w:val="1750.182"/>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5401.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44.04.01 Педагогическое образование (высшее образование - магистратура), Направленность (профиль) программы «Дополнительное образование детей», утв. приказом ректора ОмГА от 27.03.2023 № 51.</w:t>
            </w:r>
          </w:p>
          <w:p>
            <w:pPr>
              <w:jc w:val="both"/>
              <w:spacing w:after="0" w:line="240" w:lineRule="auto"/>
              <w:rPr>
                <w:sz w:val="22"/>
                <w:szCs w:val="22"/>
              </w:rPr>
            </w:pPr>
            <w:r>
              <w:rPr>
                <w:rFonts w:ascii="Times New Roman" w:hAnsi="Times New Roman" w:cs="Times New Roman"/>
                <w:color w:val="#000000"/>
                <w:sz w:val="22"/>
                <w:szCs w:val="22"/>
              </w:rPr>
              <w:t> </w:t>
            </w:r>
          </w:p>
          <w:p>
            <w:pPr>
              <w:jc w:val="both"/>
              <w:spacing w:after="0" w:line="240" w:lineRule="auto"/>
              <w:rPr>
                <w:sz w:val="22"/>
                <w:szCs w:val="22"/>
              </w:rPr>
            </w:pPr>
            <w:r>
              <w:rPr>
                <w:rFonts w:ascii="Times New Roman" w:hAnsi="Times New Roman" w:cs="Times New Roman"/>
                <w:color w:val="#000000"/>
                <w:sz w:val="22"/>
                <w:szCs w:val="22"/>
              </w:rPr>
              <w:t> .</w:t>
            </w:r>
          </w:p>
        </w:tc>
      </w:tr>
      <w:tr>
        <w:trPr>
          <w:trHeight w:hRule="exact" w:val="138.91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585.060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433"/>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"Педагогики, психологии и социальной работы"</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1135.722"/>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Организация исследовательской деятельности детей</w:t>
            </w:r>
          </w:p>
          <w:p>
            <w:pPr>
              <w:jc w:val="center"/>
              <w:spacing w:after="0" w:line="240" w:lineRule="auto"/>
              <w:rPr>
                <w:sz w:val="32"/>
                <w:szCs w:val="32"/>
              </w:rPr>
            </w:pPr>
            <w:r>
              <w:rPr>
                <w:rFonts w:ascii="Times New Roman" w:hAnsi="Times New Roman" w:cs="Times New Roman"/>
                <w:color w:val="#000000"/>
                <w:sz w:val="32"/>
                <w:szCs w:val="32"/>
              </w:rPr>
              <w:t> К.М.03.ДВ.01.02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магистратуры</w:t>
            </w:r>
          </w:p>
        </w:tc>
      </w:tr>
      <w:tr>
        <w:trPr>
          <w:trHeight w:hRule="exact" w:val="1125.874"/>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44.04.01 Педагогическое образование (высшее образование - магистратура)</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«Дополнительное образование детей»</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699.7188"/>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01.ОБРАЗОВАНИЕ И НАУКА.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851" w:type="dxa"/>
          </w:tcPr>
          <w:p/>
        </w:tc>
        <w:tc>
          <w:tcPr>
            <w:tcW w:w="285"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ОБРАЗОВАНИЕ И НАУКА</w:t>
            </w:r>
          </w:p>
        </w:tc>
      </w:tr>
      <w:tr>
        <w:trPr>
          <w:trHeight w:hRule="exact" w:val="304.5845"/>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01.001</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trPr>
          <w:trHeight w:hRule="exact" w:val="550.9566"/>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304.5836"/>
        </w:trPr>
        <w:tc>
          <w:tcPr>
            <w:tcW w:w="1149" w:type="dxa"/>
            <w:gridSpan w:val="3"/>
            <w:tcBorders>
              <w:top w:val="single" w:sz="8" w:space="0" w:color="#000000"/>
              <w:left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01.003</w:t>
            </w:r>
          </w:p>
        </w:tc>
        <w:tc>
          <w:tcPr>
            <w:tcW w:w="9087" w:type="dxa"/>
            <w:gridSpan w:val="7"/>
            <w:tcBorders>
              <w:top w:val="single" w:sz="8" w:space="0" w:color="#000000"/>
              <w:left w:val="single" w:sz="8" w:space="0" w:color="#000000"/>
              <w:bottom w:val="single" w:sz="8" w:space="0" w:color="#000000"/>
              <w:right w:val="single" w:sz="8" w:space="0" w:color="#000000"/>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 ДОПОЛНИТЕЛЬНОГО ОБРАЗОВАНИЯ ДЕТЕЙ И ВЗРОСЛЫХ</w:t>
            </w:r>
          </w:p>
        </w:tc>
      </w:tr>
      <w:tr>
        <w:trPr>
          <w:trHeight w:hRule="exact" w:val="9.996789"/>
        </w:trPr>
        <w:tc>
          <w:tcPr>
            <w:tcW w:w="1149" w:type="dxa"/>
            <w:gridSpan w:val="3"/>
            <w:tcBorders>
              <w:left w:val="single" w:sz="8" w:space="0" w:color="#000000"/>
              <w:bottom w:val="single" w:sz="8" w:space="0" w:color="#000000"/>
            </w:tcBorders>
            <w:shd w:val="clear" w:color="#FFFFFF" w:fill="#FFFFFF"/>
            <w:vAlign w:val="top"/>
            <w:tcMar>
              <w:left w:w="4" w:type="dxa"/>
              <w:right w:w="4" w:type="dxa"/>
            </w:tcMar>
          </w:tcPr>
          <w:p/>
        </w:tc>
        <w:tc>
          <w:tcPr>
            <w:tcW w:w="9087" w:type="dxa"/>
            <w:gridSpan w:val="7"/>
            <w:tcBorders>
              <w:top w:val="single" w:sz="8" w:space="0" w:color="#000000"/>
              <w:left w:val="single" w:sz="8" w:space="0" w:color="#000000"/>
              <w:bottom w:val="single" w:sz="8" w:space="0" w:color="#000000"/>
              <w:right w:val="single" w:sz="8" w:space="0" w:color="#000000"/>
            </w:tcBorders>
            <w:vMerge/>
            <w:shd w:val="clear" w:color="#000000" w:fill="#FFFFFF"/>
            <w:vAlign w:val="top"/>
            <w:tcMar>
              <w:left w:w="34" w:type="dxa"/>
              <w:right w:w="34" w:type="dxa"/>
            </w:tcMar>
          </w:tcPr>
          <w:p/>
        </w:tc>
      </w:tr>
      <w:tr>
        <w:trPr>
          <w:trHeight w:hRule="exact" w:val="124.214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педагогический, научно-исследовательский, методический</w:t>
            </w:r>
          </w:p>
        </w:tc>
      </w:tr>
      <w:tr>
        <w:trPr>
          <w:trHeight w:hRule="exact" w:val="307.2295"/>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5118" w:type="dxa"/>
            <w:gridSpan w:val="3"/>
            <w:tcBorders>
</w:tcBorders>
            <w:vMerge/>
            <w:shd w:val="clear" w:color="#000000" w:fill="#FFFFFF"/>
            <w:vAlign w:val="top"/>
            <w:tcMar>
              <w:left w:w="34" w:type="dxa"/>
              <w:right w:w="34" w:type="dxa"/>
            </w:tcMar>
          </w:tcPr>
          <w:p/>
        </w:tc>
      </w:tr>
      <w:tr>
        <w:trPr>
          <w:trHeight w:hRule="exact" w:val="2162.223"/>
        </w:trPr>
        <w:tc>
          <w:tcPr>
            <w:tcW w:w="143" w:type="dxa"/>
          </w:tcPr>
          <w:p/>
        </w:tc>
        <w:tc>
          <w:tcPr>
            <w:tcW w:w="285" w:type="dxa"/>
          </w:tcPr>
          <w:p/>
        </w:tc>
        <w:tc>
          <w:tcPr>
            <w:tcW w:w="710" w:type="dxa"/>
          </w:tcPr>
          <w:p/>
        </w:tc>
        <w:tc>
          <w:tcPr>
            <w:tcW w:w="1419" w:type="dxa"/>
          </w:tcPr>
          <w:p/>
        </w:tc>
        <w:tc>
          <w:tcPr>
            <w:tcW w:w="1419" w:type="dxa"/>
          </w:tcPr>
          <w:p/>
        </w:tc>
        <w:tc>
          <w:tcPr>
            <w:tcW w:w="851" w:type="dxa"/>
          </w:tcPr>
          <w:p/>
        </w:tc>
        <w:tc>
          <w:tcPr>
            <w:tcW w:w="285"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2023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2023-2024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д.п.н., профессор _________________ /Е.В. Лопанова/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«Педагогики, психологии и социальной работы»</w:t>
            </w:r>
          </w:p>
          <w:p>
            <w:pPr>
              <w:jc w:val="left"/>
              <w:spacing w:after="0" w:line="240" w:lineRule="auto"/>
              <w:rPr>
                <w:sz w:val="24"/>
                <w:szCs w:val="24"/>
              </w:rPr>
            </w:pPr>
            <w:r>
              <w:rPr>
                <w:rFonts w:ascii="Times New Roman" w:hAnsi="Times New Roman" w:cs="Times New Roman"/>
                <w:color w:val="#000000"/>
                <w:sz w:val="24"/>
                <w:szCs w:val="24"/>
              </w:rPr>
              <w:t> Протокол от 24 марта 2023 г. №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д.п.н. _________________ /Лопанова Е.В./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 Приказом Минобрнауки России от 19.07.2022 № 662 «О несении изменений в федеральные государственные образовательные стандарты высшего образования»;</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магистратура по направлению подготовки 44.04.01 Педагогическое образование направленность (профиль) программы: «Дополнительное образование детей»; форма обучения – заочная на 2023/2024 учебный год, утвержденным приказом ректора от 27.03.2023 № 51;</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«Организация исследовательской деятельности детей»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магистратура по направлению подготовки 44.04.01 Педагогическое образование; заочная форма обучения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К.М.03.ДВ.01.02 «Организация исследовательской деятельности детей».</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49"/>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утвержденного Приказом Министерства образования и науки РФ от 22.02.2018 г. № 126 «Об утверждении федерального государственного образовательного стандарта высшего образования - магистратура по направлению подготовки 44.04.01 Педагогическое образование» при разработке основной профессиональной образовательной программы (далее - ОПОП) магистратуры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«Организация исследовательской деятельности детей»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вести совместно с другими участниками исследовательскую деятельность в рамках выбранной проблематики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 знать методологические основы  исследовательской деятельности в образовании</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ПК-2.2 уметь работать в исследовательской  команде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ПК-2.3 уметь проектировать  программы исследования  в  рамках  выбранной проблематики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ПК-2.4 уметь отбирать методологические  основания  и используемые  методы педагогического  исследования,  источники информации</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владеть приемами организации  работы  проектной (исследовательской)  команды для поиска и применения знаний в рамках выбранной  проблематики  с  целью решения задач  развития профессиональной деятельности</w:t>
            </w:r>
          </w:p>
        </w:tc>
      </w:tr>
      <w:tr>
        <w:trPr>
          <w:trHeight w:hRule="exact" w:val="277.8295"/>
        </w:trPr>
        <w:tc>
          <w:tcPr>
            <w:tcW w:w="9640" w:type="dxa"/>
          </w:tcP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конструировать педагогические процессы в условиях дополнительного образования, использовать при этом методологию и методы педагогического исследования</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 знать особенности педагогических  процессов различного  типа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уметь отбирать соответствующие  методы  и  приемы педагогического исследования  в процессе  конструирования педагогических  процессов  в условиях дополнительного образования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владеть профессиональными  практическими  умениями,  необходимыми  для конструирования  педагогических процессов  различного  типа  в условиях дополнительного образования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4678"/>
        <w:gridCol w:w="992"/>
      </w:tblGrid>
      <w:tr>
        <w:trPr>
          <w:trHeight w:hRule="exact" w:val="855.54"/>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критический анализ проблемных ситуаций на основе системного подхода, вырабатывать стратегию действий</w:t>
            </w:r>
          </w:p>
        </w:tc>
      </w:tr>
      <w:tr>
        <w:trPr>
          <w:trHeight w:hRule="exact" w:val="585.06"/>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УК-1.1 знать способы выделения проблемной ситуации на основе  анализа проблемы</w:t>
            </w:r>
          </w:p>
        </w:tc>
      </w:tr>
      <w:tr>
        <w:trPr>
          <w:trHeight w:hRule="exact" w:val="585.05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УК-1.3 знать алгоритм разработки возможных решений проблемной ситуации на основе системного подхода</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УК-1.4 уметь определять этапы и различные варианты решения проблемной ситуации с учетом вариативных контекстов</w:t>
            </w:r>
          </w:p>
        </w:tc>
      </w:tr>
      <w:tr>
        <w:trPr>
          <w:trHeight w:hRule="exact" w:val="585.06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УК-1.5 уметь находить, критически анализировать и  выбирать информацию, необходимую для выработки стратегии действий по разрешению проблемной ситуации</w:t>
            </w:r>
          </w:p>
        </w:tc>
      </w:tr>
      <w:tr>
        <w:trPr>
          <w:trHeight w:hRule="exact" w:val="314.5801"/>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УК-1.6 уметь грамотно, логично, аргументированно формулировать суждения и оценки</w:t>
            </w:r>
          </w:p>
        </w:tc>
      </w:tr>
      <w:tr>
        <w:trPr>
          <w:trHeight w:hRule="exact" w:val="585.0598"/>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УК-1.7 уметь выявлять и оценивать практические последствия действий по разрешению проблемной ситуации</w:t>
            </w:r>
          </w:p>
        </w:tc>
      </w:tr>
      <w:tr>
        <w:trPr>
          <w:trHeight w:hRule="exact" w:val="314.5799"/>
        </w:trPr>
        <w:tc>
          <w:tcPr>
            <w:tcW w:w="9654"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УК-1.9 владеть способами выстраивания стратегии действий</w:t>
            </w:r>
          </w:p>
        </w:tc>
      </w:tr>
      <w:tr>
        <w:trPr>
          <w:trHeight w:hRule="exact" w:val="416.7451"/>
        </w:trPr>
        <w:tc>
          <w:tcPr>
            <w:tcW w:w="3970" w:type="dxa"/>
          </w:tcPr>
          <w:p/>
        </w:tc>
        <w:tc>
          <w:tcPr>
            <w:tcW w:w="4679" w:type="dxa"/>
          </w:tcPr>
          <w:p/>
        </w:tc>
        <w:tc>
          <w:tcPr>
            <w:tcW w:w="993" w:type="dxa"/>
          </w:tcPr>
          <w:p/>
        </w:tc>
      </w:tr>
      <w:tr>
        <w:trPr>
          <w:trHeight w:hRule="exact" w:val="304.584"/>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gridSpan w:val="3"/>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К.М.03.ДВ.01.02 «Организация исследовательской деятельности детей» относится к обязательной части, является дисциплиной Блока Б1. «Дисциплины (модули)». Модуль "Теория и практика исследований в  дополнительном образовании детей" основной профессиональной образовательной программы высшего образования - магистратура по направлению подготовки 44.04.01 Педагогическое образование.</w:t>
            </w:r>
          </w:p>
        </w:tc>
      </w:tr>
      <w:tr>
        <w:trPr>
          <w:trHeight w:hRule="exact" w:val="138.9152"/>
        </w:trPr>
        <w:tc>
          <w:tcPr>
            <w:tcW w:w="3970" w:type="dxa"/>
          </w:tcPr>
          <w:p/>
        </w:tc>
        <w:tc>
          <w:tcPr>
            <w:tcW w:w="4679" w:type="dxa"/>
          </w:tcPr>
          <w:p/>
        </w:tc>
        <w:tc>
          <w:tcPr>
            <w:tcW w:w="993" w:type="dxa"/>
          </w:tcP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4781.468"/>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Педагогическое проектирование и управление проектами</w:t>
            </w:r>
          </w:p>
          <w:p>
            <w:pPr>
              <w:jc w:val="center"/>
              <w:spacing w:after="0" w:line="240" w:lineRule="auto"/>
              <w:rPr>
                <w:sz w:val="22"/>
                <w:szCs w:val="22"/>
              </w:rPr>
            </w:pPr>
            <w:r>
              <w:rPr>
                <w:rFonts w:ascii="Times New Roman" w:hAnsi="Times New Roman" w:cs="Times New Roman"/>
                <w:color w:val="#000000"/>
                <w:sz w:val="22"/>
                <w:szCs w:val="22"/>
              </w:rPr>
              <w:t> Теория и практика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Философия современного образования</w:t>
            </w:r>
          </w:p>
          <w:p>
            <w:pPr>
              <w:jc w:val="center"/>
              <w:spacing w:after="0" w:line="240" w:lineRule="auto"/>
              <w:rPr>
                <w:sz w:val="22"/>
                <w:szCs w:val="22"/>
              </w:rPr>
            </w:pPr>
            <w:r>
              <w:rPr>
                <w:rFonts w:ascii="Times New Roman" w:hAnsi="Times New Roman" w:cs="Times New Roman"/>
                <w:color w:val="#000000"/>
                <w:sz w:val="22"/>
                <w:szCs w:val="22"/>
              </w:rPr>
              <w:t> Ценностно-целевые ориентиры современного воспитания</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(педагогическая)</w:t>
            </w:r>
          </w:p>
          <w:p>
            <w:pPr>
              <w:jc w:val="center"/>
              <w:spacing w:after="0" w:line="240" w:lineRule="auto"/>
              <w:rPr>
                <w:sz w:val="22"/>
                <w:szCs w:val="22"/>
              </w:rPr>
            </w:pPr>
            <w:r>
              <w:rPr>
                <w:rFonts w:ascii="Times New Roman" w:hAnsi="Times New Roman" w:cs="Times New Roman"/>
                <w:color w:val="#000000"/>
                <w:sz w:val="22"/>
                <w:szCs w:val="22"/>
              </w:rPr>
              <w:t> Исследовательская деятельность педагога дополнительного образования</w:t>
            </w:r>
          </w:p>
          <w:p>
            <w:pPr>
              <w:jc w:val="center"/>
              <w:spacing w:after="0" w:line="240" w:lineRule="auto"/>
              <w:rPr>
                <w:sz w:val="22"/>
                <w:szCs w:val="22"/>
              </w:rPr>
            </w:pPr>
            <w:r>
              <w:rPr>
                <w:rFonts w:ascii="Times New Roman" w:hAnsi="Times New Roman" w:cs="Times New Roman"/>
                <w:color w:val="#000000"/>
                <w:sz w:val="22"/>
                <w:szCs w:val="22"/>
              </w:rPr>
              <w:t> Педагогическое взаимодействие с одаренными детьми и талантливой молодежью</w:t>
            </w:r>
          </w:p>
          <w:p>
            <w:pPr>
              <w:jc w:val="center"/>
              <w:spacing w:after="0" w:line="240" w:lineRule="auto"/>
              <w:rPr>
                <w:sz w:val="22"/>
                <w:szCs w:val="22"/>
              </w:rPr>
            </w:pPr>
            <w:r>
              <w:rPr>
                <w:rFonts w:ascii="Times New Roman" w:hAnsi="Times New Roman" w:cs="Times New Roman"/>
                <w:color w:val="#000000"/>
                <w:sz w:val="22"/>
                <w:szCs w:val="22"/>
              </w:rPr>
              <w:t> Проектирование дополнительных образовательных программ для одаренных детей и талантливой молодежи</w:t>
            </w:r>
          </w:p>
          <w:p>
            <w:pPr>
              <w:jc w:val="center"/>
              <w:spacing w:after="0" w:line="240" w:lineRule="auto"/>
              <w:rPr>
                <w:sz w:val="22"/>
                <w:szCs w:val="22"/>
              </w:rPr>
            </w:pPr>
            <w:r>
              <w:rPr>
                <w:rFonts w:ascii="Times New Roman" w:hAnsi="Times New Roman" w:cs="Times New Roman"/>
                <w:color w:val="#000000"/>
                <w:sz w:val="22"/>
                <w:szCs w:val="22"/>
              </w:rPr>
              <w:t> Психология и педагогика одаренности</w:t>
            </w:r>
          </w:p>
        </w:tc>
        <w:tc>
          <w:tcPr>
            <w:tcW w:w="4692.7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Выполнение и защита выпускной квалификационной работы</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(преддипломная практика)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 ПК-2</w:t>
            </w:r>
          </w:p>
        </w:tc>
      </w:tr>
      <w:tr>
        <w:trPr>
          <w:trHeight w:hRule="exact" w:val="138.9152"/>
        </w:trPr>
        <w:tc>
          <w:tcPr>
            <w:tcW w:w="3970" w:type="dxa"/>
          </w:tcPr>
          <w:p/>
        </w:tc>
        <w:tc>
          <w:tcPr>
            <w:tcW w:w="4679" w:type="dxa"/>
          </w:tcPr>
          <w:p/>
        </w:tc>
        <w:tc>
          <w:tcPr>
            <w:tcW w:w="993" w:type="dxa"/>
          </w:tcPr>
          <w:p/>
        </w:tc>
      </w:tr>
      <w:tr>
        <w:trPr>
          <w:trHeight w:hRule="exact" w:val="1125.873"/>
        </w:trPr>
        <w:tc>
          <w:tcPr>
            <w:tcW w:w="9654" w:type="dxa"/>
            <w:gridSpan w:val="3"/>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3"/>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425"/>
        <w:gridCol w:w="709"/>
        <w:gridCol w:w="1134"/>
      </w:tblGrid>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
        </w:trPr>
        <w:tc>
          <w:tcPr>
            <w:tcW w:w="7811.2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3</w:t>
            </w:r>
          </w:p>
        </w:tc>
      </w:tr>
      <w:tr>
        <w:trPr>
          <w:trHeight w:hRule="exact" w:val="138.9149"/>
        </w:trPr>
        <w:tc>
          <w:tcPr>
            <w:tcW w:w="5671" w:type="dxa"/>
          </w:tcPr>
          <w:p/>
        </w:tc>
        <w:tc>
          <w:tcPr>
            <w:tcW w:w="1702" w:type="dxa"/>
          </w:tcPr>
          <w:p/>
        </w:tc>
        <w:tc>
          <w:tcPr>
            <w:tcW w:w="426" w:type="dxa"/>
          </w:tcPr>
          <w:p/>
        </w:tc>
        <w:tc>
          <w:tcPr>
            <w:tcW w:w="710" w:type="dxa"/>
          </w:tcPr>
          <w:p/>
        </w:tc>
        <w:tc>
          <w:tcPr>
            <w:tcW w:w="1135" w:type="dxa"/>
          </w:tcPr>
          <w:p/>
        </w:tc>
      </w:tr>
      <w:tr>
        <w:trPr>
          <w:trHeight w:hRule="exact" w:val="1666.833"/>
        </w:trPr>
        <w:tc>
          <w:tcPr>
            <w:tcW w:w="9654" w:type="dxa"/>
            <w:gridSpan w:val="5"/>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9"/>
        </w:trPr>
        <w:tc>
          <w:tcPr>
            <w:tcW w:w="5671" w:type="dxa"/>
          </w:tcPr>
          <w:p/>
        </w:tc>
        <w:tc>
          <w:tcPr>
            <w:tcW w:w="1702" w:type="dxa"/>
          </w:tcPr>
          <w:p/>
        </w:tc>
        <w:tc>
          <w:tcPr>
            <w:tcW w:w="426" w:type="dxa"/>
          </w:tcPr>
          <w:p/>
        </w:tc>
        <w:tc>
          <w:tcPr>
            <w:tcW w:w="710" w:type="dxa"/>
          </w:tcPr>
          <w:p/>
        </w:tc>
        <w:tc>
          <w:tcPr>
            <w:tcW w:w="1135" w:type="dxa"/>
          </w:tcP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299"/>
        </w:trPr>
        <w:tc>
          <w:tcPr>
            <w:tcW w:w="5685"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Характеристика исследовательской деятельности в дошкольном возрасте.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родителей и педагога в организации исследовательской 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3452"/>
        </w:trPr>
        <w:tc>
          <w:tcPr>
            <w:tcW w:w="9654" w:type="dxa"/>
            <w:gridSpan w:val="5"/>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537.52"/>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686.783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585.0601"/>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7"/>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Характеристика исследовательской деятельности в дошкольном возрасте.</w:t>
            </w:r>
          </w:p>
        </w:tc>
      </w:tr>
      <w:tr>
        <w:trPr>
          <w:trHeight w:hRule="exact" w:val="21.31518"/>
        </w:trPr>
        <w:tc>
          <w:tcPr>
            <w:tcW w:w="9640" w:type="dxa"/>
          </w:tcPr>
          <w:p/>
        </w:tc>
      </w:tr>
      <w:tr>
        <w:trPr>
          <w:trHeight w:hRule="exact" w:val="1396.35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Своеобразие познавательной-исследовательской деятельности в дошкольном детстве. Этапы ее развития. Психолого-педагогические исследования Н.Н. Поддьякова, А.И. Савенкова, Н.Н .Коротовой, Н.А . Вераксы об особенностях детских исследований. Алгоритм действий для осуществления познавательно-исследовательской деятельности. Познавательно-исследовательские умения дошкольников. Типы детских исследований.</w:t>
            </w:r>
          </w:p>
        </w:tc>
      </w:tr>
      <w:tr>
        <w:trPr>
          <w:trHeight w:hRule="exact" w:val="8.085269"/>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Роль родителей и педагога в организации исследовательской деятельности.</w:t>
            </w:r>
          </w:p>
        </w:tc>
      </w:tr>
      <w:tr>
        <w:trPr>
          <w:trHeight w:hRule="exact" w:val="21.31518"/>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Организация исследовательской деятельности дошкольников в семье. Взаимодействие с семьей как основа познавательной активности дошкольников.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Практика организации исследовательской деятельности школьников. Понятие, сущность, виды учебно-исследовательской деятельности школьников.</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Роль деятельности в образовательном процессе. Виды учебно-исследовательской деятельности. Факторы, обуславливающие актуализацию или тормозящие процесс исследовательской деятельности школьников.</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Организация исследовательской деятельности детей в игровых ситуациях. Конференции, праздники, ролевые игры, неделя науки.</w:t>
            </w:r>
          </w:p>
        </w:tc>
      </w:tr>
      <w:tr>
        <w:trPr>
          <w:trHeight w:hRule="exact" w:val="21.31518"/>
        </w:trPr>
        <w:tc>
          <w:tcPr>
            <w:tcW w:w="9640" w:type="dxa"/>
          </w:tcP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Примерные требования к разработке программы исследовательской деятельности детей. Педагогические, методические требования к организации тематических конференций Педагогические и методические требования к проведению ролевых игр.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5453.25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«Организация исследовательской деятельности детей» / Е.В. Лопанова. – Омск: Изд-во Омской гуманитарной академии, 2023.</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31.08. 2022 (протокол заседания № 1), Студенческого совета ОмГА от 31.08.2022 (протокол заседания № 1), утвержденное приказом ректора от 31.08.2022 №103.</w:t>
            </w:r>
          </w:p>
        </w:tc>
      </w:tr>
      <w:tr>
        <w:trPr>
          <w:trHeight w:hRule="exact" w:val="138.9152"/>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2178.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проектной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обучающихся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Полат</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Болдырева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Пеньковских</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Горобец</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Звонова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Битюцких</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Зырянова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Ромашко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Доросевич</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Бусев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Краснов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Каменский</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Сергеев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Воронцов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Заславский</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Клевцова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Раскина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Сафонова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Чумакова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Панина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Кузнецова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Антонова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Имакаев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Пототня</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Лебедева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Ксенофонтова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Пестерева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Власова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Пермь:</w:t>
            </w:r>
            <w:r>
              <w:rPr/>
              <w:t xml:space="preserve"> </w:t>
            </w:r>
            <w:r>
              <w:rPr>
                <w:rFonts w:ascii="Times New Roman" w:hAnsi="Times New Roman" w:cs="Times New Roman"/>
                <w:color w:val="#000000"/>
                <w:sz w:val="24"/>
                <w:szCs w:val="24"/>
              </w:rPr>
              <w:t>Пермский</w:t>
            </w:r>
            <w:r>
              <w:rPr/>
              <w:t xml:space="preserve"> </w:t>
            </w:r>
            <w:r>
              <w:rPr>
                <w:rFonts w:ascii="Times New Roman" w:hAnsi="Times New Roman" w:cs="Times New Roman"/>
                <w:color w:val="#000000"/>
                <w:sz w:val="24"/>
                <w:szCs w:val="24"/>
              </w:rPr>
              <w:t>государственный</w:t>
            </w:r>
            <w:r>
              <w:rPr/>
              <w:t xml:space="preserve"> </w:t>
            </w:r>
            <w:r>
              <w:rPr>
                <w:rFonts w:ascii="Times New Roman" w:hAnsi="Times New Roman" w:cs="Times New Roman"/>
                <w:color w:val="#000000"/>
                <w:sz w:val="24"/>
                <w:szCs w:val="24"/>
              </w:rPr>
              <w:t>гуманитарно-педагогический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164</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http://www.iprbookshop.ru/86374.html</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досуговой</w:t>
            </w:r>
            <w:r>
              <w:rPr/>
              <w:t xml:space="preserve"> </w:t>
            </w:r>
            <w:r>
              <w:rPr>
                <w:rFonts w:ascii="Times New Roman" w:hAnsi="Times New Roman" w:cs="Times New Roman"/>
                <w:color w:val="#000000"/>
                <w:sz w:val="24"/>
                <w:szCs w:val="24"/>
              </w:rPr>
              <w:t>деятельности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дошкольном</w:t>
            </w:r>
            <w:r>
              <w:rPr/>
              <w:t xml:space="preserve"> </w:t>
            </w:r>
            <w:r>
              <w:rPr>
                <w:rFonts w:ascii="Times New Roman" w:hAnsi="Times New Roman" w:cs="Times New Roman"/>
                <w:color w:val="#000000"/>
                <w:sz w:val="24"/>
                <w:szCs w:val="24"/>
              </w:rPr>
              <w:t>образовательном</w:t>
            </w:r>
            <w:r>
              <w:rPr/>
              <w:t xml:space="preserve"> </w:t>
            </w:r>
            <w:r>
              <w:rPr>
                <w:rFonts w:ascii="Times New Roman" w:hAnsi="Times New Roman" w:cs="Times New Roman"/>
                <w:color w:val="#000000"/>
                <w:sz w:val="24"/>
                <w:szCs w:val="24"/>
              </w:rPr>
              <w:t>учреждении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Зацепина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149</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978-5-534-09153-3.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https://urait.ru/bcode/438977</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Дошкольная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Коллективное</w:t>
            </w:r>
            <w:r>
              <w:rPr/>
              <w:t xml:space="preserve"> </w:t>
            </w:r>
            <w:r>
              <w:rPr>
                <w:rFonts w:ascii="Times New Roman" w:hAnsi="Times New Roman" w:cs="Times New Roman"/>
                <w:color w:val="#000000"/>
                <w:sz w:val="24"/>
                <w:szCs w:val="24"/>
              </w:rPr>
              <w:t>творчество</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Комарова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Савенков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978-5-534-08234-0.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https://urait.ru/bcode/437317</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Семейная</w:t>
            </w:r>
            <w:r>
              <w:rPr/>
              <w:t xml:space="preserve"> </w:t>
            </w:r>
            <w:r>
              <w:rPr>
                <w:rFonts w:ascii="Times New Roman" w:hAnsi="Times New Roman" w:cs="Times New Roman"/>
                <w:color w:val="#000000"/>
                <w:sz w:val="24"/>
                <w:szCs w:val="24"/>
              </w:rPr>
              <w:t>педагогика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домашнее</w:t>
            </w:r>
            <w:r>
              <w:rPr/>
              <w:t xml:space="preserve"> </w:t>
            </w:r>
            <w:r>
              <w:rPr>
                <w:rFonts w:ascii="Times New Roman" w:hAnsi="Times New Roman" w:cs="Times New Roman"/>
                <w:color w:val="#000000"/>
                <w:sz w:val="24"/>
                <w:szCs w:val="24"/>
              </w:rPr>
              <w:t>воспитание</w:t>
            </w:r>
            <w:r>
              <w:rPr/>
              <w:t xml:space="preserve"> </w:t>
            </w:r>
            <w:r>
              <w:rPr>
                <w:rFonts w:ascii="Times New Roman" w:hAnsi="Times New Roman" w:cs="Times New Roman"/>
                <w:color w:val="#000000"/>
                <w:sz w:val="24"/>
                <w:szCs w:val="24"/>
              </w:rPr>
              <w:t>детей</w:t>
            </w:r>
            <w:r>
              <w:rPr/>
              <w:t xml:space="preserve"> </w:t>
            </w:r>
            <w:r>
              <w:rPr>
                <w:rFonts w:ascii="Times New Roman" w:hAnsi="Times New Roman" w:cs="Times New Roman"/>
                <w:color w:val="#000000"/>
                <w:sz w:val="24"/>
                <w:szCs w:val="24"/>
              </w:rPr>
              <w:t>раннего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возраста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Зверева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Ганичева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177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978-5-534-06395-0.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https://urait.ru/bcode/434177</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Степанова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Тряпицына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Учебно-исследовательская</w:t>
            </w:r>
            <w:r>
              <w:rPr/>
              <w:t xml:space="preserve"> </w:t>
            </w:r>
            <w:r>
              <w:rPr>
                <w:rFonts w:ascii="Times New Roman" w:hAnsi="Times New Roman" w:cs="Times New Roman"/>
                <w:color w:val="#000000"/>
                <w:sz w:val="24"/>
                <w:szCs w:val="24"/>
              </w:rPr>
              <w:t>деятельность</w:t>
            </w:r>
            <w:r>
              <w:rPr/>
              <w:t xml:space="preserve"> </w:t>
            </w:r>
            <w:r>
              <w:rPr>
                <w:rFonts w:ascii="Times New Roman" w:hAnsi="Times New Roman" w:cs="Times New Roman"/>
                <w:color w:val="#000000"/>
                <w:sz w:val="24"/>
                <w:szCs w:val="24"/>
              </w:rPr>
              <w:t>школьников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профильном</w:t>
            </w:r>
            <w:r>
              <w:rPr/>
              <w:t xml:space="preserve"> </w:t>
            </w:r>
            <w:r>
              <w:rPr>
                <w:rFonts w:ascii="Times New Roman" w:hAnsi="Times New Roman" w:cs="Times New Roman"/>
                <w:color w:val="#000000"/>
                <w:sz w:val="24"/>
                <w:szCs w:val="24"/>
              </w:rPr>
              <w:t>обучении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Санкт-Петербург:</w:t>
            </w:r>
            <w:r>
              <w:rPr/>
              <w:t xml:space="preserve"> </w:t>
            </w:r>
            <w:r>
              <w:rPr>
                <w:rFonts w:ascii="Times New Roman" w:hAnsi="Times New Roman" w:cs="Times New Roman"/>
                <w:color w:val="#000000"/>
                <w:sz w:val="24"/>
                <w:szCs w:val="24"/>
              </w:rPr>
              <w:t>КАРО,</w:t>
            </w:r>
            <w:r>
              <w:rPr/>
              <w:t xml:space="preserve"> </w:t>
            </w:r>
            <w:r>
              <w:rPr>
                <w:rFonts w:ascii="Times New Roman" w:hAnsi="Times New Roman" w:cs="Times New Roman"/>
                <w:color w:val="#000000"/>
                <w:sz w:val="24"/>
                <w:szCs w:val="24"/>
              </w:rPr>
              <w:t>2006.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5-89815-580-5.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http://www.iprbookshop.ru/44544.html</w:t>
            </w:r>
            <w:r>
              <w:rPr/>
              <w:t xml:space="preserve"> </w:t>
            </w:r>
          </w:p>
        </w:tc>
      </w:tr>
      <w:tr>
        <w:trPr>
          <w:trHeight w:hRule="exact" w:val="1069.719"/>
        </w:trPr>
        <w:tc>
          <w:tcPr>
            <w:tcW w:w="9654" w:type="dxa"/>
            <w:gridSpan w:val="2"/>
            <w:tcBorders>
</w:tcBorders>
            <w:vMerge/>
            <w:shd w:val="clear" w:color="#000000" w:fill="#FFFFFF"/>
            <w:vAlign w:val="top"/>
            <w:tcMar>
              <w:left w:w="34" w:type="dxa"/>
              <w:right w:w="34" w:type="dxa"/>
            </w:tcMar>
          </w:tcP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Теории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технологии</w:t>
            </w:r>
            <w:r>
              <w:rPr/>
              <w:t xml:space="preserve"> </w:t>
            </w:r>
            <w:r>
              <w:rPr>
                <w:rFonts w:ascii="Times New Roman" w:hAnsi="Times New Roman" w:cs="Times New Roman"/>
                <w:color w:val="#000000"/>
                <w:sz w:val="24"/>
                <w:szCs w:val="24"/>
              </w:rPr>
              <w:t>дошкольного</w:t>
            </w:r>
            <w:r>
              <w:rPr/>
              <w:t xml:space="preserve"> </w:t>
            </w:r>
            <w:r>
              <w:rPr>
                <w:rFonts w:ascii="Times New Roman" w:hAnsi="Times New Roman" w:cs="Times New Roman"/>
                <w:color w:val="#000000"/>
                <w:sz w:val="24"/>
                <w:szCs w:val="24"/>
              </w:rPr>
              <w:t>образования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Батколина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Российский</w:t>
            </w:r>
            <w:r>
              <w:rPr/>
              <w:t xml:space="preserve"> </w:t>
            </w:r>
            <w:r>
              <w:rPr>
                <w:rFonts w:ascii="Times New Roman" w:hAnsi="Times New Roman" w:cs="Times New Roman"/>
                <w:color w:val="#000000"/>
                <w:sz w:val="24"/>
                <w:szCs w:val="24"/>
              </w:rPr>
              <w:t>новый</w:t>
            </w:r>
            <w:r>
              <w:rPr/>
              <w:t xml:space="preserve"> </w:t>
            </w:r>
            <w:r>
              <w:rPr>
                <w:rFonts w:ascii="Times New Roman" w:hAnsi="Times New Roman" w:cs="Times New Roman"/>
                <w:color w:val="#000000"/>
                <w:sz w:val="24"/>
                <w:szCs w:val="24"/>
              </w:rPr>
              <w:t>университет,</w:t>
            </w:r>
            <w:r>
              <w:rPr/>
              <w:t xml:space="preserve"> </w:t>
            </w:r>
            <w:r>
              <w:rPr>
                <w:rFonts w:ascii="Times New Roman" w:hAnsi="Times New Roman" w:cs="Times New Roman"/>
                <w:color w:val="#000000"/>
                <w:sz w:val="24"/>
                <w:szCs w:val="24"/>
              </w:rPr>
              <w:t>2012.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80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2227-8397.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http://www.iprbookshop.ru/21320.html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646.2114"/>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9210.28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5866.91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948.43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607"/>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магистратуры;</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6941.4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микшер,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3267.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2023-2024_ФГОС3++2023_Маг-ЗФО-ПО(ДО)(23)_plx_Организация исследовательской деятельности детей</dc:title>
  <dc:creator>FastReport.NET</dc:creator>
</cp:coreProperties>
</file>